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品种非处方药说明书范本</w:t>
      </w:r>
    </w:p>
    <w:p>
      <w:pPr>
        <w:keepNext/>
        <w:keepLines/>
        <w:spacing w:before="260" w:after="260" w:line="408" w:lineRule="auto"/>
        <w:jc w:val="center"/>
        <w:outlineLvl w:val="1"/>
        <w:rPr>
          <w:rFonts w:hint="eastAsia" w:ascii="黑体" w:hAnsi="黑体" w:eastAsia="黑体" w:cs="黑体"/>
          <w:b/>
          <w:sz w:val="30"/>
          <w:szCs w:val="20"/>
        </w:rPr>
      </w:pPr>
      <w:r>
        <w:rPr>
          <w:rFonts w:hint="eastAsia" w:ascii="黑体" w:hAnsi="黑体" w:eastAsia="黑体" w:cs="黑体"/>
          <w:b/>
          <w:sz w:val="30"/>
          <w:szCs w:val="20"/>
        </w:rPr>
        <w:t>蒲地蓝消炎片说明书</w:t>
      </w:r>
    </w:p>
    <w:p>
      <w:pPr>
        <w:spacing w:line="280" w:lineRule="exact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请仔细阅读说明书并按说明使用或在药师指导下购买和使用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>]</w:t>
      </w:r>
    </w:p>
    <w:p>
      <w:pPr>
        <w:spacing w:line="280" w:lineRule="exact"/>
        <w:rPr>
          <w:bCs/>
        </w:rPr>
      </w:pPr>
      <w:r>
        <w:rPr>
          <w:rFonts w:hint="eastAsia"/>
          <w:bCs/>
        </w:rPr>
        <w:t>通用名称：蒲地蓝消炎片</w:t>
      </w:r>
    </w:p>
    <w:p>
      <w:pPr>
        <w:spacing w:line="280" w:lineRule="exact"/>
        <w:rPr>
          <w:bCs/>
        </w:rPr>
      </w:pPr>
      <w:r>
        <w:rPr>
          <w:rFonts w:hint="eastAsia"/>
          <w:bCs/>
        </w:rPr>
        <w:t>汉语拼音：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成份</w:t>
      </w:r>
      <w:r>
        <w:rPr>
          <w:bCs/>
        </w:rPr>
        <w:t xml:space="preserve">] 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性状</w:t>
      </w:r>
      <w:r>
        <w:rPr>
          <w:bCs/>
        </w:rPr>
        <w:t xml:space="preserve">] 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功能主治</w:t>
      </w:r>
      <w:r>
        <w:rPr>
          <w:bCs/>
        </w:rPr>
        <w:t>]</w:t>
      </w:r>
      <w:r>
        <w:rPr>
          <w:rFonts w:hint="eastAsia"/>
          <w:bCs/>
        </w:rPr>
        <w:t>清热解毒，抗炎消肿。用于疖肿、咽炎、扁桃体炎。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规格</w:t>
      </w:r>
      <w:r>
        <w:rPr>
          <w:bCs/>
        </w:rPr>
        <w:t>]0.24</w:t>
      </w:r>
      <w:r>
        <w:rPr>
          <w:rFonts w:hint="eastAsia"/>
          <w:bCs/>
        </w:rPr>
        <w:t>克</w:t>
      </w:r>
      <w:r>
        <w:rPr>
          <w:bCs/>
        </w:rPr>
        <w:t>/</w:t>
      </w:r>
      <w:r>
        <w:rPr>
          <w:rFonts w:hint="eastAsia"/>
          <w:bCs/>
        </w:rPr>
        <w:t>片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用法用量</w:t>
      </w:r>
      <w:r>
        <w:rPr>
          <w:bCs/>
        </w:rPr>
        <w:t>]</w:t>
      </w:r>
      <w:r>
        <w:rPr>
          <w:rFonts w:hint="eastAsia"/>
          <w:bCs/>
        </w:rPr>
        <w:t>口服，一次</w:t>
      </w:r>
      <w:r>
        <w:rPr>
          <w:bCs/>
        </w:rPr>
        <w:t>5</w:t>
      </w:r>
      <w:r>
        <w:rPr>
          <w:rFonts w:hint="eastAsia"/>
          <w:bCs/>
        </w:rPr>
        <w:t>～</w:t>
      </w:r>
      <w:r>
        <w:rPr>
          <w:bCs/>
        </w:rPr>
        <w:t>8</w:t>
      </w:r>
      <w:r>
        <w:rPr>
          <w:rFonts w:hint="eastAsia"/>
          <w:bCs/>
        </w:rPr>
        <w:t>片，一日</w:t>
      </w:r>
      <w:r>
        <w:rPr>
          <w:bCs/>
        </w:rPr>
        <w:t>4</w:t>
      </w:r>
      <w:r>
        <w:rPr>
          <w:rFonts w:hint="eastAsia"/>
          <w:bCs/>
        </w:rPr>
        <w:t>次，小儿酌减。</w:t>
      </w:r>
    </w:p>
    <w:p>
      <w:pPr>
        <w:spacing w:line="28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不良反应</w:t>
      </w:r>
      <w:r>
        <w:rPr>
          <w:bCs/>
        </w:rPr>
        <w:t>]</w:t>
      </w:r>
      <w:r>
        <w:rPr>
          <w:rFonts w:hint="eastAsia"/>
          <w:bCs/>
        </w:rPr>
        <w:t>该制剂有以下不良反应报告：恶心、呕吐、腹胀、腹痛、腹泻、头晕、乏力等；皮疹、瘙痒等过敏反应。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禁忌</w:t>
      </w:r>
      <w:r>
        <w:rPr>
          <w:b/>
          <w:bCs/>
        </w:rPr>
        <w:t>]</w:t>
      </w:r>
      <w:r>
        <w:t xml:space="preserve"> </w:t>
      </w:r>
      <w:r>
        <w:rPr>
          <w:rFonts w:hint="eastAsia"/>
          <w:b/>
          <w:bCs/>
        </w:rPr>
        <w:t>对本品及所含成份过敏者禁用。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>]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忌食辛辣刺激性食物。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2.</w:t>
      </w:r>
      <w:r>
        <w:rPr>
          <w:rFonts w:hint="eastAsia"/>
          <w:b/>
          <w:bCs/>
        </w:rPr>
        <w:t>用药期间不宜同时服用温热性药物。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3.</w:t>
      </w:r>
      <w:r>
        <w:rPr>
          <w:rFonts w:hint="eastAsia"/>
          <w:b/>
          <w:bCs/>
        </w:rPr>
        <w:t>症见腹痛、喜暖、泄泻等脾胃虚寒者慎用。</w:t>
      </w:r>
      <w:r>
        <w:rPr>
          <w:b/>
          <w:bCs/>
        </w:rPr>
        <w:t xml:space="preserve"> 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4.</w:t>
      </w:r>
      <w:r>
        <w:rPr>
          <w:rFonts w:hint="eastAsia"/>
          <w:b/>
          <w:bCs/>
        </w:rPr>
        <w:t>孕妇慎用，儿童、哺乳期妇女、年老体弱者应在医师指导下使用。</w:t>
      </w:r>
      <w:r>
        <w:rPr>
          <w:b/>
          <w:bCs/>
        </w:rPr>
        <w:t xml:space="preserve"> 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5.</w:t>
      </w:r>
      <w:r>
        <w:rPr>
          <w:rFonts w:hint="eastAsia"/>
          <w:b/>
          <w:bCs/>
        </w:rPr>
        <w:t>高血压、心脏病、肝病、糖尿病、肾病等患者应在医师指导下使用。</w:t>
      </w:r>
      <w:r>
        <w:rPr>
          <w:b/>
          <w:bCs/>
        </w:rPr>
        <w:t xml:space="preserve"> 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6.</w:t>
      </w:r>
      <w:r>
        <w:rPr>
          <w:rFonts w:hint="eastAsia"/>
          <w:b/>
          <w:bCs/>
        </w:rPr>
        <w:t>疮疖较重或局部变软化脓，扁桃体化脓及全身高热者应到医院就诊。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7.</w:t>
      </w:r>
      <w:r>
        <w:rPr>
          <w:rFonts w:hint="eastAsia"/>
          <w:b/>
          <w:bCs/>
        </w:rPr>
        <w:t>服药</w:t>
      </w:r>
      <w:r>
        <w:rPr>
          <w:b/>
          <w:bCs/>
        </w:rPr>
        <w:t>3</w:t>
      </w:r>
      <w:r>
        <w:rPr>
          <w:rFonts w:hint="eastAsia"/>
          <w:b/>
          <w:bCs/>
        </w:rPr>
        <w:t>天症状无缓解，应去医院就诊。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8.</w:t>
      </w:r>
      <w:r>
        <w:rPr>
          <w:rFonts w:hint="eastAsia"/>
          <w:b/>
          <w:bCs/>
        </w:rPr>
        <w:t>过敏体质者慎用。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9.</w:t>
      </w:r>
      <w:r>
        <w:rPr>
          <w:rFonts w:hint="eastAsia"/>
          <w:b/>
          <w:bCs/>
        </w:rPr>
        <w:t>本品性状发生改变时禁止使用。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10.</w:t>
      </w:r>
      <w:r>
        <w:rPr>
          <w:rFonts w:hint="eastAsia"/>
          <w:b/>
          <w:bCs/>
        </w:rPr>
        <w:t>儿童必须在成人监护下使用。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11.</w:t>
      </w:r>
      <w:r>
        <w:rPr>
          <w:rFonts w:hint="eastAsia"/>
          <w:b/>
          <w:bCs/>
        </w:rPr>
        <w:t>请将本品放在儿童不能接触的地方。</w:t>
      </w:r>
    </w:p>
    <w:p>
      <w:pPr>
        <w:spacing w:line="280" w:lineRule="exact"/>
        <w:rPr>
          <w:b/>
          <w:bCs/>
        </w:rPr>
      </w:pPr>
      <w:r>
        <w:rPr>
          <w:b/>
          <w:bCs/>
        </w:rPr>
        <w:t>12.</w:t>
      </w:r>
      <w:r>
        <w:rPr>
          <w:rFonts w:hint="eastAsia"/>
          <w:b/>
          <w:bCs/>
        </w:rPr>
        <w:t>如正在使用其他药品，使用本品前请咨询医师或药师。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药物相互作用］如与其他药物同时使用可能会发生药物相互作用，详情请咨询医师或药师。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贮藏</w:t>
      </w:r>
      <w:r>
        <w:t xml:space="preserve">] 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包装</w:t>
      </w:r>
      <w:r>
        <w:t>]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有效期</w:t>
      </w:r>
      <w:r>
        <w:t>]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执行标准</w:t>
      </w:r>
      <w:r>
        <w:t>]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批准文号</w:t>
      </w:r>
      <w:r>
        <w:t>]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说明书修订日期</w:t>
      </w:r>
      <w:r>
        <w:t>]</w:t>
      </w:r>
    </w:p>
    <w:p>
      <w:pPr>
        <w:spacing w:line="280" w:lineRule="exact"/>
      </w:pPr>
      <w:r>
        <w:t>[</w:t>
      </w:r>
      <w:r>
        <w:rPr>
          <w:rFonts w:hint="eastAsia"/>
        </w:rPr>
        <w:t>药品上市许可持有人</w:t>
      </w:r>
      <w:r>
        <w:t>]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名</w:t>
      </w:r>
      <w:r>
        <w:t xml:space="preserve">   </w:t>
      </w:r>
      <w:r>
        <w:rPr>
          <w:rFonts w:hint="eastAsia"/>
        </w:rPr>
        <w:t>称：</w:t>
      </w:r>
      <w:r>
        <w:t xml:space="preserve"> 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注册地址：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邮政编码：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电话号码：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传真号码：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网</w:t>
      </w:r>
      <w:r>
        <w:t xml:space="preserve"> </w:t>
      </w:r>
      <w:r>
        <w:rPr>
          <w:rFonts w:hint="eastAsia"/>
        </w:rPr>
        <w:t>址：</w:t>
      </w:r>
    </w:p>
    <w:p>
      <w:pPr>
        <w:spacing w:line="280" w:lineRule="exact"/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生产企业</w:t>
      </w:r>
      <w:r>
        <w:t>]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企业名称：</w:t>
      </w:r>
      <w:r>
        <w:t xml:space="preserve"> </w:t>
      </w:r>
    </w:p>
    <w:p>
      <w:pPr>
        <w:spacing w:line="280" w:lineRule="exact"/>
        <w:rPr>
          <w:rFonts w:hint="eastAsia" w:eastAsia="宋体"/>
          <w:lang w:eastAsia="zh-CN"/>
        </w:rPr>
      </w:pPr>
      <w:r>
        <w:rPr>
          <w:rFonts w:hint="eastAsia"/>
        </w:rPr>
        <w:t>生产地址：</w:t>
      </w:r>
    </w:p>
    <w:p>
      <w:pPr>
        <w:spacing w:line="280" w:lineRule="exact"/>
        <w:rPr>
          <w:b/>
          <w:bCs/>
        </w:rPr>
      </w:pPr>
      <w:r>
        <w:rPr>
          <w:rFonts w:hint="eastAsia"/>
          <w:b/>
          <w:bCs/>
        </w:rPr>
        <w:t>如有问题可与药品上市许可持有人联系。</w:t>
      </w:r>
    </w:p>
    <w:p>
      <w:pPr>
        <w:spacing w:line="540" w:lineRule="exact"/>
        <w:rPr>
          <w:rFonts w:ascii="仿宋" w:hAnsi="仿宋" w:eastAsia="仿宋"/>
          <w:color w:val="FFFFFF"/>
          <w:sz w:val="32"/>
          <w:szCs w:val="32"/>
        </w:rPr>
      </w:pPr>
    </w:p>
    <w:p>
      <w:pPr>
        <w:keepNext/>
        <w:keepLines/>
        <w:spacing w:before="260" w:after="260" w:line="408" w:lineRule="auto"/>
        <w:jc w:val="center"/>
        <w:outlineLvl w:val="1"/>
        <w:rPr>
          <w:rFonts w:hint="eastAsia" w:ascii="黑体" w:hAnsi="黑体" w:eastAsia="黑体" w:cs="黑体"/>
          <w:b/>
          <w:sz w:val="30"/>
          <w:szCs w:val="20"/>
        </w:rPr>
      </w:pPr>
      <w:r>
        <w:rPr>
          <w:rFonts w:hint="eastAsia" w:ascii="仿宋_GB2312" w:hAnsi="华文仿宋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sz w:val="30"/>
          <w:szCs w:val="20"/>
        </w:rPr>
        <w:t>红花逍遥片说明书</w:t>
      </w:r>
    </w:p>
    <w:p>
      <w:pPr>
        <w:spacing w:line="300" w:lineRule="exact"/>
        <w:jc w:val="center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请仔细阅读说明书并按说明使用或在药师指导下购买和使用</w:t>
      </w:r>
    </w:p>
    <w:p>
      <w:pPr>
        <w:spacing w:line="300" w:lineRule="exact"/>
        <w:rPr>
          <w:sz w:val="28"/>
          <w:szCs w:val="28"/>
        </w:rPr>
      </w:pPr>
    </w:p>
    <w:p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通用名称：红花逍遥片</w:t>
      </w:r>
    </w:p>
    <w:p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</w:rPr>
        <w:t>舒肝，理气，活血。用于肝气不舒所致的胸胁胀痛，头晕目眩，食欲减退，月经不调，乳房胀痛或伴见颜面黄褐斑。</w:t>
      </w:r>
    </w:p>
    <w:p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  <w:szCs w:val="21"/>
        </w:rPr>
        <w:t>每片重0.39克</w:t>
      </w:r>
    </w:p>
    <w:p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>口服，一次2～4片，一日3次。</w:t>
      </w:r>
    </w:p>
    <w:p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</w:rPr>
        <w:t>监测数据显示，本品有恶心、腹痛、呕吐、头晕、皮疹、瘙痒等不良反应报告。</w:t>
      </w:r>
    </w:p>
    <w:p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b/>
          <w:bCs/>
          <w:szCs w:val="21"/>
        </w:rPr>
        <w:t>]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1.孕妇忌服。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2.对本品及所含成份过敏者禁用。</w:t>
      </w:r>
    </w:p>
    <w:p>
      <w:pPr>
        <w:spacing w:line="0" w:lineRule="atLeast"/>
        <w:rPr>
          <w:b/>
          <w:bCs/>
          <w:szCs w:val="21"/>
        </w:rPr>
      </w:pPr>
      <w:r>
        <w:rPr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b/>
          <w:bCs/>
          <w:szCs w:val="21"/>
        </w:rPr>
        <w:t>]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1.服药期间忌食生冷及油腻难消化的食品。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2.服药期间要保持情绪乐观，切忌生气恼怒。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3.肝肾阴虚，气滞不运所致的胸胁疼痛，胸腹胀满，咽喉干燥，舌无津液者慎用。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4.火郁证者不适用，主要表现为面色红赤、心中烦热、胁胀不眠、大便秘结。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5.高血压、心脏病、肝病、糖尿病、肾病等患者应在医师指导下服用。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6.平素月经正常，突然出现经量过多，或经期错后，或阴道不规则出血者应去医院就诊。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7.器质性疾病所致胁痛者、头晕严重者应去医院就诊。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8.服药3天症状无缓解，应去医院就诊。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9.年老体弱者、哺乳期妇女、月经量多者应在医师指导下服用。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10.过敏体质者慎用。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11.本品性状发生改变时禁止使用。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12.请将本品放在儿童不能接触的地方。</w:t>
      </w:r>
    </w:p>
    <w:p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13.如正在使用其他药品，使用本品前请咨询医师或药师。</w:t>
      </w:r>
    </w:p>
    <w:p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药物相互作用］如与其他药物同时使用可能会发生药物相互作用，详情请咨询医师或药师。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贮藏</w:t>
      </w:r>
      <w:r>
        <w:t xml:space="preserve">] 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包装</w:t>
      </w:r>
      <w:r>
        <w:t>]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有效期</w:t>
      </w:r>
      <w:r>
        <w:t>]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执行标准</w:t>
      </w:r>
      <w:r>
        <w:t>]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批准文号</w:t>
      </w:r>
      <w:r>
        <w:t>]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说明书修订日期</w:t>
      </w:r>
      <w:r>
        <w:t>]</w:t>
      </w:r>
    </w:p>
    <w:p>
      <w:r>
        <w:t>[</w:t>
      </w:r>
      <w:r>
        <w:rPr>
          <w:rFonts w:hint="eastAsia"/>
        </w:rPr>
        <w:t>药品上市许可持有人</w:t>
      </w:r>
      <w:r>
        <w:t>]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注册地址：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邮政编码：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电话号码：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传真号码：</w:t>
      </w:r>
    </w:p>
    <w:p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>
      <w:pPr>
        <w:rPr>
          <w:rFonts w:hint="eastAsia" w:eastAsia="宋体"/>
          <w:lang w:eastAsia="zh-CN"/>
        </w:rPr>
      </w:pPr>
      <w:r>
        <w:t>[</w:t>
      </w:r>
      <w:r>
        <w:rPr>
          <w:rFonts w:hint="eastAsia"/>
        </w:rPr>
        <w:t>生产企业</w:t>
      </w:r>
      <w:r>
        <w:t>]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企业名称：</w:t>
      </w:r>
      <w:r>
        <w:t xml:space="preserve"> 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生产地址：</w:t>
      </w:r>
    </w:p>
    <w:p>
      <w:pPr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/>
          <w:b/>
          <w:bCs/>
        </w:rPr>
        <w:t>如有问题可与药品上市许可持有人联系。</w:t>
      </w:r>
    </w:p>
    <w:p>
      <w:pPr>
        <w:rPr>
          <w:rFonts w:hint="eastAsia" w:ascii="仿宋_GB2312" w:hAnsi="华文仿宋" w:eastAsia="仿宋_GB2312"/>
          <w:szCs w:val="21"/>
        </w:rPr>
      </w:pPr>
    </w:p>
    <w:p>
      <w:pPr>
        <w:rPr>
          <w:rFonts w:hint="eastAsia" w:ascii="仿宋_GB2312" w:hAnsi="华文仿宋" w:eastAsia="仿宋_GB2312"/>
          <w:sz w:val="18"/>
          <w:szCs w:val="18"/>
        </w:rPr>
      </w:pPr>
    </w:p>
    <w:p>
      <w:pPr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rFonts w:hint="eastAsia"/>
        <w:color w:val="FFFFFF"/>
        <w:sz w:val="28"/>
        <w:szCs w:val="28"/>
      </w:rPr>
      <w:t>—</w:t>
    </w: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  <w:lang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528B8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25CD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4C027BB"/>
    <w:rsid w:val="36DA8174"/>
    <w:rsid w:val="3FB7274B"/>
    <w:rsid w:val="43E2636A"/>
    <w:rsid w:val="4C1A048F"/>
    <w:rsid w:val="591D3208"/>
    <w:rsid w:val="5F297A5F"/>
    <w:rsid w:val="5F7F0989"/>
    <w:rsid w:val="63E446CD"/>
    <w:rsid w:val="677B944D"/>
    <w:rsid w:val="6B9F5949"/>
    <w:rsid w:val="6FFFBEE5"/>
    <w:rsid w:val="767B5748"/>
    <w:rsid w:val="7BE93714"/>
    <w:rsid w:val="7DFECB80"/>
    <w:rsid w:val="7ED62E8A"/>
    <w:rsid w:val="7EEE1C84"/>
    <w:rsid w:val="7FEF0249"/>
    <w:rsid w:val="9BFF77F4"/>
    <w:rsid w:val="ADE7158C"/>
    <w:rsid w:val="B75EA9A4"/>
    <w:rsid w:val="D6EA02EC"/>
    <w:rsid w:val="D9E5F358"/>
    <w:rsid w:val="DB6C818D"/>
    <w:rsid w:val="DEF497F4"/>
    <w:rsid w:val="EFB3053D"/>
    <w:rsid w:val="EFFD3093"/>
    <w:rsid w:val="F5FE0E73"/>
    <w:rsid w:val="F6FAB5B5"/>
    <w:rsid w:val="F7BD5CF1"/>
    <w:rsid w:val="F7DE90AA"/>
    <w:rsid w:val="FBCDDACA"/>
    <w:rsid w:val="FBFFE373"/>
    <w:rsid w:val="FFA7144E"/>
    <w:rsid w:val="FFCF0F13"/>
    <w:rsid w:val="FFD3BB70"/>
    <w:rsid w:val="FFFA2F3F"/>
    <w:rsid w:val="FFFFF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4</Pages>
  <Words>215</Words>
  <Characters>1232</Characters>
  <Lines>10</Lines>
  <Paragraphs>2</Paragraphs>
  <TotalTime>0</TotalTime>
  <ScaleCrop>false</ScaleCrop>
  <LinksUpToDate>false</LinksUpToDate>
  <CharactersWithSpaces>1445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2022-01-25T01:56:00Z</dcterms:created>
  <dc:creator>Xtzj.User</dc:creator>
  <cp:lastModifiedBy>Litoyi</cp:lastModifiedBy>
  <cp:lastPrinted>2022-01-22T00:35:00Z</cp:lastPrinted>
  <dcterms:modified xsi:type="dcterms:W3CDTF">2022-01-25T03:37:01Z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DC99715CA3B240AD98E5150F94E210CA</vt:lpwstr>
  </property>
</Properties>
</file>