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华文仿宋" w:eastAsia="仿宋_GB2312"/>
          <w:sz w:val="18"/>
          <w:szCs w:val="18"/>
        </w:rPr>
      </w:pPr>
      <w:bookmarkStart w:id="0" w:name="_GoBack"/>
      <w:bookmarkEnd w:id="0"/>
      <w:r>
        <w:rPr>
          <w:rFonts w:hint="eastAsia" w:ascii="黑体" w:hAnsi="黑体" w:eastAsia="黑体" w:cs="黑体"/>
          <w:sz w:val="32"/>
          <w:szCs w:val="32"/>
        </w:rPr>
        <w:t>附件5</w:t>
      </w:r>
    </w:p>
    <w:p>
      <w:pPr>
        <w:jc w:val="center"/>
        <w:rPr>
          <w:rFonts w:hint="eastAsia" w:eastAsia="方正小标宋简体"/>
          <w:color w:val="000000"/>
          <w:sz w:val="36"/>
          <w:szCs w:val="36"/>
        </w:rPr>
      </w:pPr>
    </w:p>
    <w:p>
      <w:p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雷贝拉唑口服制剂说明书修订要求</w:t>
      </w:r>
    </w:p>
    <w:p>
      <w:pPr>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（包括雷贝拉唑</w:t>
      </w:r>
      <w:r>
        <w:rPr>
          <w:rFonts w:ascii="Times New Roman" w:hAnsi="Times New Roman" w:eastAsia="楷体_GB2312"/>
          <w:sz w:val="32"/>
          <w:szCs w:val="32"/>
          <w:lang w:val="en"/>
        </w:rPr>
        <w:t>钠肠溶片、</w:t>
      </w:r>
      <w:r>
        <w:rPr>
          <w:rFonts w:ascii="Times New Roman" w:hAnsi="Times New Roman" w:eastAsia="楷体_GB2312"/>
          <w:color w:val="000000"/>
          <w:sz w:val="32"/>
          <w:szCs w:val="32"/>
        </w:rPr>
        <w:t>雷贝拉唑</w:t>
      </w:r>
      <w:r>
        <w:rPr>
          <w:rFonts w:ascii="Times New Roman" w:hAnsi="Times New Roman" w:eastAsia="楷体_GB2312"/>
          <w:sz w:val="32"/>
          <w:szCs w:val="32"/>
          <w:lang w:val="en"/>
        </w:rPr>
        <w:t>钠肠溶胶囊</w:t>
      </w:r>
      <w:r>
        <w:rPr>
          <w:rFonts w:ascii="Times New Roman" w:hAnsi="Times New Roman" w:eastAsia="楷体_GB2312"/>
          <w:color w:val="000000"/>
          <w:sz w:val="32"/>
          <w:szCs w:val="32"/>
        </w:rPr>
        <w:t>）</w:t>
      </w:r>
    </w:p>
    <w:p>
      <w:pPr>
        <w:ind w:firstLine="720"/>
        <w:jc w:val="center"/>
        <w:rPr>
          <w:rFonts w:hint="eastAsia" w:ascii="Times New Roman" w:hAnsi="Times New Roman" w:eastAsia="仿宋_GB2312"/>
          <w:color w:val="000000"/>
          <w:sz w:val="32"/>
          <w:szCs w:val="32"/>
        </w:rPr>
      </w:pPr>
    </w:p>
    <w:p>
      <w:pPr>
        <w:spacing w:line="540" w:lineRule="exact"/>
        <w:ind w:firstLine="640" w:firstLineChars="200"/>
        <w:rPr>
          <w:rFonts w:eastAsia="仿宋_GB2312"/>
          <w:sz w:val="32"/>
          <w:szCs w:val="32"/>
        </w:rPr>
      </w:pPr>
      <w:r>
        <w:rPr>
          <w:rFonts w:hint="eastAsia" w:eastAsia="仿宋_GB2312"/>
          <w:sz w:val="32"/>
          <w:szCs w:val="32"/>
        </w:rPr>
        <w:t>一、【不良反应】项下应包括“上市后监测到骨折、低镁血症、艰难梭菌相关性腹泻风险，但发生率不详”等描述。</w:t>
      </w:r>
    </w:p>
    <w:p>
      <w:pPr>
        <w:spacing w:line="540" w:lineRule="exact"/>
        <w:ind w:firstLine="640" w:firstLineChars="200"/>
        <w:rPr>
          <w:rFonts w:eastAsia="仿宋_GB2312"/>
          <w:sz w:val="32"/>
          <w:szCs w:val="32"/>
        </w:rPr>
      </w:pPr>
      <w:r>
        <w:rPr>
          <w:rFonts w:hint="eastAsia" w:eastAsia="仿宋_GB2312"/>
          <w:sz w:val="32"/>
          <w:szCs w:val="32"/>
        </w:rPr>
        <w:t>二、【注意事项】项下应包括以下内容：</w:t>
      </w:r>
    </w:p>
    <w:p>
      <w:pPr>
        <w:spacing w:line="54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低镁血症</w:t>
      </w:r>
    </w:p>
    <w:p>
      <w:pPr>
        <w:spacing w:line="540" w:lineRule="exact"/>
        <w:ind w:firstLine="640" w:firstLineChars="200"/>
        <w:rPr>
          <w:rFonts w:eastAsia="仿宋_GB2312"/>
          <w:color w:val="000000"/>
          <w:kern w:val="0"/>
          <w:sz w:val="32"/>
          <w:szCs w:val="32"/>
        </w:rPr>
      </w:pPr>
      <w:r>
        <w:rPr>
          <w:rFonts w:hint="eastAsia" w:eastAsia="仿宋_GB2312"/>
          <w:sz w:val="32"/>
          <w:szCs w:val="32"/>
        </w:rPr>
        <w:t>在治疗少于</w:t>
      </w:r>
      <w:r>
        <w:rPr>
          <w:rFonts w:eastAsia="仿宋_GB2312"/>
          <w:sz w:val="32"/>
          <w:szCs w:val="32"/>
        </w:rPr>
        <w:t>3</w:t>
      </w:r>
      <w:r>
        <w:rPr>
          <w:rFonts w:hint="eastAsia" w:eastAsia="仿宋_GB2312"/>
          <w:sz w:val="32"/>
          <w:szCs w:val="32"/>
        </w:rPr>
        <w:t>个月的患者中，有症状和无症状的低镁血症都鲜有报道</w:t>
      </w:r>
      <w:r>
        <w:rPr>
          <w:rFonts w:hint="eastAsia" w:eastAsia="仿宋_GB2312"/>
          <w:color w:val="000000"/>
          <w:kern w:val="0"/>
          <w:sz w:val="32"/>
          <w:szCs w:val="32"/>
        </w:rPr>
        <w:t>，多数低镁血症病例出现在质子泵抑制剂治疗长达</w:t>
      </w:r>
      <w:r>
        <w:rPr>
          <w:rFonts w:eastAsia="仿宋_GB2312"/>
          <w:color w:val="000000"/>
          <w:kern w:val="0"/>
          <w:sz w:val="32"/>
          <w:szCs w:val="32"/>
        </w:rPr>
        <w:t>1</w:t>
      </w:r>
      <w:r>
        <w:rPr>
          <w:rFonts w:hint="eastAsia" w:eastAsia="仿宋_GB2312"/>
          <w:color w:val="000000"/>
          <w:kern w:val="0"/>
          <w:sz w:val="32"/>
          <w:szCs w:val="32"/>
        </w:rPr>
        <w:t>年的患者中。低镁血症严重时表现为手足搐搦、惊厥、心律失常等症状。因此对于需要长期治疗的患者，尤其是同时使用地高辛或其他可致低镁血症的药物时，应考虑在治疗前监测血镁水平，并在治疗过程中定期监测。</w:t>
      </w:r>
    </w:p>
    <w:p>
      <w:pPr>
        <w:spacing w:line="54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骨折</w:t>
      </w:r>
    </w:p>
    <w:p>
      <w:pPr>
        <w:spacing w:line="540" w:lineRule="exact"/>
        <w:ind w:firstLine="640" w:firstLineChars="200"/>
        <w:rPr>
          <w:rFonts w:eastAsia="仿宋_GB2312"/>
          <w:sz w:val="32"/>
          <w:szCs w:val="32"/>
        </w:rPr>
      </w:pPr>
      <w:r>
        <w:rPr>
          <w:rFonts w:hint="eastAsia" w:eastAsia="仿宋_GB2312"/>
          <w:sz w:val="32"/>
          <w:szCs w:val="32"/>
        </w:rPr>
        <w:t>一些国外的观察性研究表明质子泵抑制剂治疗可能与骨质疏松症相关的髋关节、腕关节或脊柱骨折风险增加有关。接受了高剂量及长期（一年或更长时间）药物治疗的患者骨折风险会增加。</w:t>
      </w:r>
    </w:p>
    <w:p>
      <w:pPr>
        <w:spacing w:line="54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艰难梭菌相关性腹泻</w:t>
      </w:r>
    </w:p>
    <w:p>
      <w:pPr>
        <w:spacing w:line="540" w:lineRule="exact"/>
        <w:ind w:firstLine="640" w:firstLineChars="200"/>
        <w:rPr>
          <w:rFonts w:eastAsia="仿宋_GB2312"/>
          <w:sz w:val="32"/>
          <w:szCs w:val="32"/>
        </w:rPr>
      </w:pPr>
      <w:r>
        <w:rPr>
          <w:rFonts w:hint="eastAsia" w:eastAsia="仿宋_GB2312"/>
          <w:sz w:val="32"/>
          <w:szCs w:val="32"/>
        </w:rPr>
        <w:t>在国外的主要以住院患者为对象的多个观察研究中，有报告称接受质子泵抑制剂治疗的患者因艰难梭菌导致出现胃肠感染的风险增加。</w:t>
      </w:r>
    </w:p>
    <w:p>
      <w:pPr>
        <w:spacing w:line="54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雷贝拉唑与氯吡格雷联用</w:t>
      </w:r>
      <w:r>
        <w:rPr>
          <w:rFonts w:eastAsia="仿宋_GB2312"/>
          <w:sz w:val="32"/>
          <w:szCs w:val="32"/>
        </w:rPr>
        <w:t xml:space="preserve"> </w:t>
      </w:r>
    </w:p>
    <w:p>
      <w:pPr>
        <w:spacing w:line="540" w:lineRule="exact"/>
        <w:ind w:firstLine="640" w:firstLineChars="200"/>
        <w:rPr>
          <w:rFonts w:eastAsia="仿宋_GB2312"/>
          <w:sz w:val="32"/>
          <w:szCs w:val="32"/>
        </w:rPr>
      </w:pPr>
      <w:r>
        <w:rPr>
          <w:rFonts w:hint="eastAsia" w:eastAsia="仿宋_GB2312"/>
          <w:sz w:val="32"/>
          <w:szCs w:val="32"/>
        </w:rPr>
        <w:t>在一项健康受试者（</w:t>
      </w:r>
      <w:r>
        <w:rPr>
          <w:rFonts w:eastAsia="仿宋_GB2312"/>
          <w:sz w:val="32"/>
          <w:szCs w:val="32"/>
        </w:rPr>
        <w:t>n=36</w:t>
      </w:r>
      <w:r>
        <w:rPr>
          <w:rFonts w:hint="eastAsia" w:eastAsia="仿宋_GB2312"/>
          <w:sz w:val="32"/>
          <w:szCs w:val="32"/>
        </w:rPr>
        <w:t>）中开展的研究表明</w:t>
      </w:r>
      <w:r>
        <w:rPr>
          <w:rFonts w:eastAsia="仿宋_GB2312"/>
          <w:sz w:val="32"/>
          <w:szCs w:val="32"/>
        </w:rPr>
        <w:t>,</w:t>
      </w:r>
      <w:r>
        <w:rPr>
          <w:rFonts w:hint="eastAsia" w:eastAsia="仿宋_GB2312"/>
          <w:sz w:val="32"/>
          <w:szCs w:val="32"/>
        </w:rPr>
        <w:t>雷贝拉唑和氯吡格雷联用可使氯吡格雷活性代谢产物的平均</w:t>
      </w:r>
      <w:r>
        <w:rPr>
          <w:rFonts w:eastAsia="仿宋_GB2312"/>
          <w:sz w:val="32"/>
          <w:szCs w:val="32"/>
        </w:rPr>
        <w:t xml:space="preserve"> AUC </w:t>
      </w:r>
      <w:r>
        <w:rPr>
          <w:rFonts w:hint="eastAsia" w:eastAsia="仿宋_GB2312"/>
          <w:sz w:val="32"/>
          <w:szCs w:val="32"/>
        </w:rPr>
        <w:t>降低约</w:t>
      </w:r>
      <w:r>
        <w:rPr>
          <w:rFonts w:eastAsia="仿宋_GB2312"/>
          <w:sz w:val="32"/>
          <w:szCs w:val="32"/>
        </w:rPr>
        <w:t xml:space="preserve"> 12%</w:t>
      </w:r>
      <w:r>
        <w:rPr>
          <w:rFonts w:hint="eastAsia" w:eastAsia="仿宋_GB2312"/>
          <w:sz w:val="32"/>
          <w:szCs w:val="32"/>
        </w:rPr>
        <w:t>（平均</w:t>
      </w:r>
      <w:r>
        <w:rPr>
          <w:rFonts w:eastAsia="仿宋_GB2312"/>
          <w:sz w:val="32"/>
          <w:szCs w:val="32"/>
        </w:rPr>
        <w:t xml:space="preserve"> AUC </w:t>
      </w:r>
      <w:r>
        <w:rPr>
          <w:rFonts w:hint="eastAsia" w:eastAsia="仿宋_GB2312"/>
          <w:sz w:val="32"/>
          <w:szCs w:val="32"/>
        </w:rPr>
        <w:t>比率为</w:t>
      </w:r>
      <w:r>
        <w:rPr>
          <w:rFonts w:eastAsia="仿宋_GB2312"/>
          <w:sz w:val="32"/>
          <w:szCs w:val="32"/>
        </w:rPr>
        <w:t xml:space="preserve"> 88%</w:t>
      </w:r>
      <w:r>
        <w:rPr>
          <w:rFonts w:hint="eastAsia" w:eastAsia="仿宋_GB2312"/>
          <w:sz w:val="32"/>
          <w:szCs w:val="32"/>
        </w:rPr>
        <w:t>，</w:t>
      </w:r>
      <w:r>
        <w:rPr>
          <w:rFonts w:eastAsia="仿宋_GB2312"/>
          <w:sz w:val="32"/>
          <w:szCs w:val="32"/>
        </w:rPr>
        <w:t xml:space="preserve">90%CI </w:t>
      </w:r>
      <w:r>
        <w:rPr>
          <w:rFonts w:hint="eastAsia" w:eastAsia="仿宋_GB2312"/>
          <w:sz w:val="32"/>
          <w:szCs w:val="32"/>
        </w:rPr>
        <w:t>为</w:t>
      </w:r>
      <w:r>
        <w:rPr>
          <w:rFonts w:eastAsia="仿宋_GB2312"/>
          <w:sz w:val="32"/>
          <w:szCs w:val="32"/>
        </w:rPr>
        <w:t xml:space="preserve"> 81.7%-95.5%</w:t>
      </w:r>
      <w:r>
        <w:rPr>
          <w:rFonts w:hint="eastAsia" w:eastAsia="仿宋_GB2312"/>
          <w:sz w:val="32"/>
          <w:szCs w:val="32"/>
        </w:rPr>
        <w:t>）。同时，有研究表明雷贝拉唑与氯吡格雷联用时对氯吡格雷的活性代谢产物暴露量或氯吡格雷诱导的血小板抑制无明显临床影响，当使用允许剂量的雷贝拉唑合用时，也不必调整氯吡格雷剂量。</w:t>
      </w: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r>
        <w:rPr>
          <w:rFonts w:hint="eastAsia" w:eastAsia="仿宋_GB2312"/>
          <w:color w:val="000000"/>
          <w:kern w:val="0"/>
          <w:sz w:val="32"/>
          <w:szCs w:val="32"/>
        </w:rPr>
        <w:t>（注：说明书其他内容如与上述修订要求不一致的，应当一并进行修订。）</w:t>
      </w:r>
    </w:p>
    <w:p>
      <w:pPr>
        <w:spacing w:line="560" w:lineRule="exact"/>
        <w:jc w:val="center"/>
        <w:rPr>
          <w:rFonts w:hint="eastAsia" w:eastAsia="方正小标宋简体"/>
          <w:color w:val="000000"/>
          <w:sz w:val="36"/>
          <w:szCs w:val="36"/>
        </w:rPr>
      </w:pPr>
      <w:r>
        <w:rPr>
          <w:rFonts w:hint="eastAsia" w:eastAsia="方正小标宋简体"/>
          <w:color w:val="000000"/>
          <w:sz w:val="36"/>
          <w:szCs w:val="36"/>
        </w:rPr>
        <w:br w:type="page"/>
      </w:r>
    </w:p>
    <w:p>
      <w:pPr>
        <w:spacing w:line="560" w:lineRule="exact"/>
        <w:jc w:val="center"/>
        <w:rPr>
          <w:rFonts w:hint="eastAsia" w:eastAsia="方正小标宋简体"/>
          <w:color w:val="000000"/>
          <w:sz w:val="44"/>
          <w:szCs w:val="44"/>
        </w:rPr>
      </w:pPr>
      <w:r>
        <w:rPr>
          <w:rFonts w:hint="eastAsia" w:eastAsia="方正小标宋简体"/>
          <w:color w:val="000000"/>
          <w:sz w:val="44"/>
          <w:szCs w:val="44"/>
        </w:rPr>
        <w:t>注射用雷贝拉唑钠说明书修订要求</w:t>
      </w:r>
    </w:p>
    <w:p>
      <w:pPr>
        <w:spacing w:line="560" w:lineRule="exact"/>
        <w:jc w:val="center"/>
        <w:rPr>
          <w:rFonts w:hint="eastAsia" w:eastAsia="方正小标宋简体"/>
          <w:color w:val="000000"/>
          <w:sz w:val="36"/>
          <w:szCs w:val="36"/>
        </w:rPr>
      </w:pPr>
    </w:p>
    <w:p>
      <w:pPr>
        <w:spacing w:line="590" w:lineRule="exact"/>
        <w:ind w:firstLine="640" w:firstLineChars="200"/>
        <w:jc w:val="left"/>
        <w:rPr>
          <w:rFonts w:eastAsia="方正小标宋简体"/>
          <w:sz w:val="32"/>
          <w:szCs w:val="32"/>
        </w:rPr>
      </w:pPr>
      <w:r>
        <w:rPr>
          <w:rFonts w:hint="eastAsia" w:eastAsia="仿宋_GB2312"/>
          <w:sz w:val="32"/>
          <w:szCs w:val="32"/>
        </w:rPr>
        <w:t>一、【不良反应】项下须包括“上市后监测到骨折、低镁血症、艰难梭菌相关性腹泻风险，但发生率不详”等描述。</w:t>
      </w:r>
    </w:p>
    <w:p>
      <w:pPr>
        <w:spacing w:line="590" w:lineRule="exact"/>
        <w:ind w:firstLine="640" w:firstLineChars="200"/>
        <w:jc w:val="left"/>
        <w:rPr>
          <w:rFonts w:eastAsia="仿宋_GB2312"/>
          <w:b/>
          <w:color w:val="000000"/>
          <w:kern w:val="0"/>
          <w:sz w:val="32"/>
          <w:szCs w:val="32"/>
        </w:rPr>
      </w:pPr>
      <w:r>
        <w:rPr>
          <w:rFonts w:hint="eastAsia" w:eastAsia="仿宋_GB2312"/>
          <w:sz w:val="32"/>
          <w:szCs w:val="32"/>
        </w:rPr>
        <w:t>二、【注意事项】项下应包括以下内容：</w:t>
      </w:r>
    </w:p>
    <w:p>
      <w:pPr>
        <w:spacing w:line="590" w:lineRule="exact"/>
        <w:ind w:firstLine="646" w:firstLineChars="202"/>
        <w:jc w:val="left"/>
        <w:rPr>
          <w:rFonts w:eastAsia="仿宋_GB2312"/>
          <w:sz w:val="32"/>
          <w:szCs w:val="32"/>
        </w:rPr>
      </w:pPr>
      <w:r>
        <w:rPr>
          <w:rFonts w:eastAsia="仿宋_GB2312"/>
          <w:sz w:val="32"/>
          <w:szCs w:val="32"/>
        </w:rPr>
        <w:t>1.</w:t>
      </w:r>
      <w:r>
        <w:rPr>
          <w:rFonts w:hint="eastAsia" w:eastAsia="仿宋_GB2312"/>
          <w:sz w:val="32"/>
          <w:szCs w:val="32"/>
        </w:rPr>
        <w:t>低镁血症</w:t>
      </w:r>
    </w:p>
    <w:p>
      <w:pPr>
        <w:spacing w:line="590" w:lineRule="exact"/>
        <w:ind w:firstLine="640" w:firstLineChars="200"/>
        <w:jc w:val="left"/>
        <w:rPr>
          <w:rFonts w:eastAsia="仿宋_GB2312"/>
          <w:color w:val="000000"/>
          <w:kern w:val="0"/>
          <w:sz w:val="32"/>
          <w:szCs w:val="32"/>
        </w:rPr>
      </w:pPr>
      <w:r>
        <w:rPr>
          <w:rFonts w:hint="eastAsia" w:eastAsia="仿宋_GB2312"/>
          <w:sz w:val="32"/>
          <w:szCs w:val="32"/>
        </w:rPr>
        <w:t>在治疗少于</w:t>
      </w:r>
      <w:r>
        <w:rPr>
          <w:rFonts w:eastAsia="仿宋_GB2312"/>
          <w:sz w:val="32"/>
          <w:szCs w:val="32"/>
        </w:rPr>
        <w:t>3</w:t>
      </w:r>
      <w:r>
        <w:rPr>
          <w:rFonts w:hint="eastAsia" w:eastAsia="仿宋_GB2312"/>
          <w:sz w:val="32"/>
          <w:szCs w:val="32"/>
        </w:rPr>
        <w:t>个月的患者中，有症状和无症状的低镁血症都鲜有报道</w:t>
      </w:r>
      <w:r>
        <w:rPr>
          <w:rFonts w:hint="eastAsia" w:eastAsia="仿宋_GB2312"/>
          <w:color w:val="000000"/>
          <w:kern w:val="0"/>
          <w:sz w:val="32"/>
          <w:szCs w:val="32"/>
        </w:rPr>
        <w:t>，多数低镁血症病例出现在质子泵抑制剂治疗长达</w:t>
      </w:r>
      <w:r>
        <w:rPr>
          <w:rFonts w:eastAsia="仿宋_GB2312"/>
          <w:color w:val="000000"/>
          <w:kern w:val="0"/>
          <w:sz w:val="32"/>
          <w:szCs w:val="32"/>
        </w:rPr>
        <w:t>1</w:t>
      </w:r>
      <w:r>
        <w:rPr>
          <w:rFonts w:hint="eastAsia" w:eastAsia="仿宋_GB2312"/>
          <w:color w:val="000000"/>
          <w:kern w:val="0"/>
          <w:sz w:val="32"/>
          <w:szCs w:val="32"/>
        </w:rPr>
        <w:t>年的患者中。低镁血症严重时表现为手足搐搦、惊厥、心律失常等症状。因此对于需要长期治疗的患者，尤其是同时使用地高辛或其他可致低镁血症的药物时，应考虑在治疗前监测血镁水平，并在治疗过程中定期监测。</w:t>
      </w:r>
    </w:p>
    <w:p>
      <w:pPr>
        <w:spacing w:line="590" w:lineRule="exact"/>
        <w:ind w:firstLine="646" w:firstLineChars="202"/>
        <w:jc w:val="left"/>
        <w:rPr>
          <w:rFonts w:eastAsia="仿宋_GB2312"/>
          <w:sz w:val="32"/>
          <w:szCs w:val="32"/>
        </w:rPr>
      </w:pPr>
      <w:r>
        <w:rPr>
          <w:rFonts w:eastAsia="仿宋_GB2312"/>
          <w:sz w:val="32"/>
          <w:szCs w:val="32"/>
        </w:rPr>
        <w:t>2.</w:t>
      </w:r>
      <w:r>
        <w:rPr>
          <w:rFonts w:hint="eastAsia" w:eastAsia="仿宋_GB2312"/>
          <w:sz w:val="32"/>
          <w:szCs w:val="32"/>
        </w:rPr>
        <w:t>骨折</w:t>
      </w:r>
    </w:p>
    <w:p>
      <w:pPr>
        <w:spacing w:line="590" w:lineRule="exact"/>
        <w:ind w:firstLine="646" w:firstLineChars="202"/>
        <w:jc w:val="left"/>
        <w:rPr>
          <w:rFonts w:eastAsia="仿宋_GB2312"/>
          <w:sz w:val="32"/>
          <w:szCs w:val="32"/>
        </w:rPr>
      </w:pPr>
      <w:r>
        <w:rPr>
          <w:rFonts w:hint="eastAsia" w:eastAsia="仿宋_GB2312"/>
          <w:sz w:val="32"/>
          <w:szCs w:val="32"/>
        </w:rPr>
        <w:t>一些已公布的成人研究结果表明，</w:t>
      </w:r>
      <w:r>
        <w:rPr>
          <w:rFonts w:eastAsia="仿宋_GB2312"/>
          <w:sz w:val="32"/>
          <w:szCs w:val="32"/>
        </w:rPr>
        <w:t>PPI</w:t>
      </w:r>
      <w:r>
        <w:rPr>
          <w:rFonts w:hint="eastAsia" w:eastAsia="仿宋_GB2312"/>
          <w:sz w:val="32"/>
          <w:szCs w:val="32"/>
        </w:rPr>
        <w:t>的治疗与髋关节、腕关节或脊柱的骨质疏松导致的骨折的风险增加有关。接受高剂量即每日多次给药、长期</w:t>
      </w:r>
      <w:r>
        <w:rPr>
          <w:rFonts w:eastAsia="仿宋_GB2312"/>
          <w:sz w:val="32"/>
          <w:szCs w:val="32"/>
        </w:rPr>
        <w:t>PPI</w:t>
      </w:r>
      <w:r>
        <w:rPr>
          <w:rFonts w:hint="eastAsia" w:eastAsia="仿宋_GB2312"/>
          <w:sz w:val="32"/>
          <w:szCs w:val="32"/>
        </w:rPr>
        <w:t>治疗（一年或更长的时间）的患者骨折风险升高。在适当条件下患者应该使用最低剂量和最短疗程的</w:t>
      </w:r>
      <w:r>
        <w:rPr>
          <w:rFonts w:eastAsia="仿宋_GB2312"/>
          <w:sz w:val="32"/>
          <w:szCs w:val="32"/>
        </w:rPr>
        <w:t>PPI</w:t>
      </w:r>
      <w:r>
        <w:rPr>
          <w:rFonts w:hint="eastAsia" w:eastAsia="仿宋_GB2312"/>
          <w:sz w:val="32"/>
          <w:szCs w:val="32"/>
        </w:rPr>
        <w:t>治疗。</w:t>
      </w:r>
    </w:p>
    <w:p>
      <w:pPr>
        <w:spacing w:line="590" w:lineRule="exact"/>
        <w:ind w:firstLine="646" w:firstLineChars="202"/>
        <w:jc w:val="left"/>
        <w:rPr>
          <w:rFonts w:eastAsia="仿宋_GB2312"/>
          <w:sz w:val="32"/>
          <w:szCs w:val="32"/>
        </w:rPr>
      </w:pPr>
      <w:r>
        <w:rPr>
          <w:rFonts w:eastAsia="仿宋_GB2312"/>
          <w:sz w:val="32"/>
          <w:szCs w:val="32"/>
        </w:rPr>
        <w:t>3.</w:t>
      </w:r>
      <w:r>
        <w:rPr>
          <w:rFonts w:hint="eastAsia" w:eastAsia="仿宋_GB2312"/>
          <w:sz w:val="32"/>
          <w:szCs w:val="32"/>
        </w:rPr>
        <w:t>艰难梭菌相关性腹泻</w:t>
      </w:r>
    </w:p>
    <w:p>
      <w:pPr>
        <w:spacing w:line="590" w:lineRule="exact"/>
        <w:ind w:firstLine="646" w:firstLineChars="202"/>
        <w:jc w:val="left"/>
        <w:rPr>
          <w:rFonts w:eastAsia="仿宋_GB2312"/>
          <w:sz w:val="32"/>
          <w:szCs w:val="32"/>
        </w:rPr>
      </w:pPr>
      <w:r>
        <w:rPr>
          <w:rFonts w:hint="eastAsia" w:eastAsia="仿宋_GB2312"/>
          <w:sz w:val="32"/>
          <w:szCs w:val="32"/>
        </w:rPr>
        <w:t>已公布的研究表明，如雷贝拉唑的</w:t>
      </w:r>
      <w:r>
        <w:rPr>
          <w:rFonts w:eastAsia="仿宋_GB2312"/>
          <w:sz w:val="32"/>
          <w:szCs w:val="32"/>
        </w:rPr>
        <w:t>PPI</w:t>
      </w:r>
      <w:r>
        <w:rPr>
          <w:rFonts w:hint="eastAsia" w:eastAsia="仿宋_GB2312"/>
          <w:sz w:val="32"/>
          <w:szCs w:val="32"/>
        </w:rPr>
        <w:t>治疗可能增加艰难梭菌相关性腹泻。</w:t>
      </w:r>
    </w:p>
    <w:p>
      <w:pPr>
        <w:spacing w:line="590" w:lineRule="exact"/>
        <w:ind w:firstLine="646" w:firstLineChars="202"/>
        <w:jc w:val="left"/>
        <w:rPr>
          <w:rFonts w:eastAsia="仿宋_GB2312"/>
          <w:sz w:val="32"/>
          <w:szCs w:val="32"/>
        </w:rPr>
      </w:pPr>
      <w:r>
        <w:rPr>
          <w:rFonts w:eastAsia="仿宋_GB2312"/>
          <w:sz w:val="32"/>
          <w:szCs w:val="32"/>
        </w:rPr>
        <w:t>4.</w:t>
      </w:r>
      <w:r>
        <w:rPr>
          <w:rFonts w:hint="eastAsia" w:eastAsia="仿宋_GB2312"/>
          <w:sz w:val="32"/>
          <w:szCs w:val="32"/>
        </w:rPr>
        <w:t>雷贝拉唑与氯吡格雷联用</w:t>
      </w:r>
    </w:p>
    <w:p>
      <w:pPr>
        <w:spacing w:line="590" w:lineRule="exact"/>
        <w:ind w:firstLine="640" w:firstLineChars="200"/>
        <w:rPr>
          <w:rFonts w:eastAsia="仿宋_GB2312"/>
          <w:sz w:val="32"/>
          <w:szCs w:val="32"/>
        </w:rPr>
      </w:pPr>
      <w:r>
        <w:rPr>
          <w:rFonts w:hint="eastAsia" w:eastAsia="仿宋_GB2312"/>
          <w:sz w:val="32"/>
          <w:szCs w:val="32"/>
        </w:rPr>
        <w:t>在一项健康受试者（</w:t>
      </w:r>
      <w:r>
        <w:rPr>
          <w:rFonts w:eastAsia="仿宋_GB2312"/>
          <w:sz w:val="32"/>
          <w:szCs w:val="32"/>
        </w:rPr>
        <w:t>n=36</w:t>
      </w:r>
      <w:r>
        <w:rPr>
          <w:rFonts w:hint="eastAsia" w:eastAsia="仿宋_GB2312"/>
          <w:sz w:val="32"/>
          <w:szCs w:val="32"/>
        </w:rPr>
        <w:t>）中开展的研究表明</w:t>
      </w:r>
      <w:r>
        <w:rPr>
          <w:rFonts w:eastAsia="仿宋_GB2312"/>
          <w:sz w:val="32"/>
          <w:szCs w:val="32"/>
        </w:rPr>
        <w:t>,</w:t>
      </w:r>
      <w:r>
        <w:rPr>
          <w:rFonts w:hint="eastAsia" w:eastAsia="仿宋_GB2312"/>
          <w:sz w:val="32"/>
          <w:szCs w:val="32"/>
        </w:rPr>
        <w:t>雷贝拉唑和氯吡格雷联用可使氯吡格雷活性代谢产物的平均</w:t>
      </w:r>
      <w:r>
        <w:rPr>
          <w:rFonts w:eastAsia="仿宋_GB2312"/>
          <w:sz w:val="32"/>
          <w:szCs w:val="32"/>
        </w:rPr>
        <w:t xml:space="preserve"> AUC </w:t>
      </w:r>
      <w:r>
        <w:rPr>
          <w:rFonts w:hint="eastAsia" w:eastAsia="仿宋_GB2312"/>
          <w:sz w:val="32"/>
          <w:szCs w:val="32"/>
        </w:rPr>
        <w:t>降低约</w:t>
      </w:r>
      <w:r>
        <w:rPr>
          <w:rFonts w:eastAsia="仿宋_GB2312"/>
          <w:sz w:val="32"/>
          <w:szCs w:val="32"/>
        </w:rPr>
        <w:t xml:space="preserve"> 12%</w:t>
      </w:r>
      <w:r>
        <w:rPr>
          <w:rFonts w:hint="eastAsia" w:eastAsia="仿宋_GB2312"/>
          <w:sz w:val="32"/>
          <w:szCs w:val="32"/>
        </w:rPr>
        <w:t>（平均</w:t>
      </w:r>
      <w:r>
        <w:rPr>
          <w:rFonts w:eastAsia="仿宋_GB2312"/>
          <w:sz w:val="32"/>
          <w:szCs w:val="32"/>
        </w:rPr>
        <w:t xml:space="preserve"> AUC </w:t>
      </w:r>
      <w:r>
        <w:rPr>
          <w:rFonts w:hint="eastAsia" w:eastAsia="仿宋_GB2312"/>
          <w:sz w:val="32"/>
          <w:szCs w:val="32"/>
        </w:rPr>
        <w:t>比率为</w:t>
      </w:r>
      <w:r>
        <w:rPr>
          <w:rFonts w:eastAsia="仿宋_GB2312"/>
          <w:sz w:val="32"/>
          <w:szCs w:val="32"/>
        </w:rPr>
        <w:t xml:space="preserve"> 88%</w:t>
      </w:r>
      <w:r>
        <w:rPr>
          <w:rFonts w:hint="eastAsia" w:eastAsia="仿宋_GB2312"/>
          <w:sz w:val="32"/>
          <w:szCs w:val="32"/>
        </w:rPr>
        <w:t>，</w:t>
      </w:r>
      <w:r>
        <w:rPr>
          <w:rFonts w:eastAsia="仿宋_GB2312"/>
          <w:sz w:val="32"/>
          <w:szCs w:val="32"/>
        </w:rPr>
        <w:t xml:space="preserve">90%CI </w:t>
      </w:r>
      <w:r>
        <w:rPr>
          <w:rFonts w:hint="eastAsia" w:eastAsia="仿宋_GB2312"/>
          <w:sz w:val="32"/>
          <w:szCs w:val="32"/>
        </w:rPr>
        <w:t>为</w:t>
      </w:r>
      <w:r>
        <w:rPr>
          <w:rFonts w:eastAsia="仿宋_GB2312"/>
          <w:sz w:val="32"/>
          <w:szCs w:val="32"/>
        </w:rPr>
        <w:t xml:space="preserve"> 81.7%-95.5%</w:t>
      </w:r>
      <w:r>
        <w:rPr>
          <w:rFonts w:hint="eastAsia" w:eastAsia="仿宋_GB2312"/>
          <w:sz w:val="32"/>
          <w:szCs w:val="32"/>
        </w:rPr>
        <w:t>）。同时，有研究表明雷贝拉唑与氯吡格雷联用时对氯吡格雷的活性代谢产物暴露量或氯吡格雷诱导的血小板抑制无明显临床影响，当使用允许剂量的雷贝拉唑合用时，也不必调整氯吡格雷剂量。</w:t>
      </w:r>
    </w:p>
    <w:p>
      <w:pPr>
        <w:spacing w:line="590" w:lineRule="exact"/>
        <w:ind w:firstLine="640" w:firstLineChars="200"/>
        <w:rPr>
          <w:rFonts w:eastAsia="仿宋_GB2312"/>
          <w:sz w:val="32"/>
          <w:szCs w:val="32"/>
        </w:rPr>
      </w:pPr>
    </w:p>
    <w:p>
      <w:pPr>
        <w:spacing w:line="590" w:lineRule="exact"/>
        <w:ind w:firstLine="640" w:firstLineChars="200"/>
        <w:rPr>
          <w:rFonts w:eastAsia="仿宋_GB2312"/>
          <w:color w:val="000000"/>
          <w:kern w:val="0"/>
          <w:sz w:val="32"/>
          <w:szCs w:val="32"/>
        </w:rPr>
      </w:pPr>
      <w:r>
        <w:rPr>
          <w:rFonts w:hint="eastAsia" w:eastAsia="仿宋_GB2312"/>
          <w:color w:val="000000"/>
          <w:kern w:val="0"/>
          <w:sz w:val="32"/>
          <w:szCs w:val="32"/>
        </w:rPr>
        <w:t>（注：说明书其他内容如与上述修订要求不一致的，应当一并进行修订。）</w:t>
      </w:r>
    </w:p>
    <w:p>
      <w:pPr>
        <w:spacing w:line="590" w:lineRule="exact"/>
        <w:rPr>
          <w:rFonts w:hint="eastAsia" w:ascii="仿宋_GB2312" w:hAnsi="仿宋" w:eastAsia="仿宋_GB2312"/>
          <w:sz w:val="28"/>
          <w:szCs w:val="28"/>
        </w:rPr>
      </w:pPr>
    </w:p>
    <w:p/>
    <w:sectPr>
      <w:footerReference r:id="rId3" w:type="default"/>
      <w:footerReference r:id="rId4" w:type="even"/>
      <w:pgSz w:w="11906" w:h="16838"/>
      <w:pgMar w:top="1928" w:right="1531" w:bottom="1814" w:left="1531"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2000000000000"/>
    <w:charset w:val="86"/>
    <w:family w:val="auto"/>
    <w:pitch w:val="default"/>
    <w:sig w:usb0="00000000"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D4"/>
    <w:rsid w:val="00616196"/>
    <w:rsid w:val="00783E9E"/>
    <w:rsid w:val="007A1007"/>
    <w:rsid w:val="00883885"/>
    <w:rsid w:val="00A072D9"/>
    <w:rsid w:val="00B07B0F"/>
    <w:rsid w:val="00BC10D4"/>
    <w:rsid w:val="00CC3B4D"/>
    <w:rsid w:val="1C6825FB"/>
    <w:rsid w:val="3DFFDD85"/>
    <w:rsid w:val="3EAB0813"/>
    <w:rsid w:val="AFEEC6BE"/>
    <w:rsid w:val="F19DB2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196</Words>
  <Characters>1123</Characters>
  <Lines>9</Lines>
  <Paragraphs>2</Paragraphs>
  <TotalTime>0</TotalTime>
  <ScaleCrop>false</ScaleCrop>
  <LinksUpToDate>false</LinksUpToDate>
  <CharactersWithSpaces>1317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2022-02-25T06:17:00Z</dcterms:created>
  <dc:creator>Administrator</dc:creator>
  <cp:lastModifiedBy>Litoyi</cp:lastModifiedBy>
  <dcterms:modified xsi:type="dcterms:W3CDTF">2022-02-25T07:31:20Z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DE9127BE9FD6488C803633929AD70A3C</vt:lpwstr>
  </property>
</Properties>
</file>